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E7" w:rsidRPr="000434E7" w:rsidRDefault="000434E7" w:rsidP="000434E7">
      <w:pPr>
        <w:shd w:val="clear" w:color="auto" w:fill="F5F5F5"/>
        <w:spacing w:before="124" w:line="360" w:lineRule="atLeast"/>
        <w:ind w:left="124" w:right="124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40"/>
          <w:szCs w:val="40"/>
          <w:lang w:eastAsia="ru-RU"/>
        </w:rPr>
      </w:pPr>
      <w:proofErr w:type="gramStart"/>
      <w:r w:rsidRPr="000434E7">
        <w:rPr>
          <w:rFonts w:ascii="Verdana" w:eastAsia="Times New Roman" w:hAnsi="Verdana" w:cs="Arial"/>
          <w:b/>
          <w:bCs/>
          <w:color w:val="000000"/>
          <w:kern w:val="36"/>
          <w:sz w:val="40"/>
          <w:szCs w:val="40"/>
          <w:lang w:eastAsia="ru-RU"/>
        </w:rPr>
        <w:t>Приказ Министерства здравоохранения и социального развития Российской Федерации (</w:t>
      </w:r>
      <w:proofErr w:type="spellStart"/>
      <w:r w:rsidRPr="000434E7">
        <w:rPr>
          <w:rFonts w:ascii="Verdana" w:eastAsia="Times New Roman" w:hAnsi="Verdana" w:cs="Arial"/>
          <w:b/>
          <w:bCs/>
          <w:color w:val="000000"/>
          <w:kern w:val="36"/>
          <w:sz w:val="40"/>
          <w:szCs w:val="40"/>
          <w:lang w:eastAsia="ru-RU"/>
        </w:rPr>
        <w:t>Минздравсоцразвития</w:t>
      </w:r>
      <w:proofErr w:type="spellEnd"/>
      <w:r w:rsidRPr="000434E7">
        <w:rPr>
          <w:rFonts w:ascii="Verdana" w:eastAsia="Times New Roman" w:hAnsi="Verdana" w:cs="Arial"/>
          <w:b/>
          <w:bCs/>
          <w:color w:val="000000"/>
          <w:kern w:val="36"/>
          <w:sz w:val="40"/>
          <w:szCs w:val="40"/>
          <w:lang w:eastAsia="ru-RU"/>
        </w:rPr>
        <w:t xml:space="preserve"> России) от 14 декабря 2009 г. N 984н г. Москва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</w:t>
      </w:r>
      <w:proofErr w:type="gramEnd"/>
    </w:p>
    <w:p w:rsidR="000434E7" w:rsidRPr="000434E7" w:rsidRDefault="000434E7" w:rsidP="000434E7">
      <w:pPr>
        <w:spacing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lang w:eastAsia="ru-RU"/>
        </w:rPr>
        <w:t>Дата первой официальной публикации: 22 января 2010 г.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434E7">
        <w:rPr>
          <w:rFonts w:ascii="Arial" w:eastAsia="Times New Roman" w:hAnsi="Arial" w:cs="Arial"/>
          <w:sz w:val="30"/>
          <w:lang w:eastAsia="ru-RU"/>
        </w:rPr>
        <w:t xml:space="preserve">Опубликовано: в </w:t>
      </w:r>
      <w:hyperlink r:id="rId5" w:history="1">
        <w:r w:rsidRPr="000434E7">
          <w:rPr>
            <w:rFonts w:ascii="Verdana" w:eastAsia="Times New Roman" w:hAnsi="Verdana" w:cs="Arial"/>
            <w:b/>
            <w:bCs/>
            <w:color w:val="003399"/>
            <w:sz w:val="32"/>
            <w:u w:val="single"/>
            <w:lang w:eastAsia="ru-RU"/>
          </w:rPr>
          <w:t>"РГ" - Федеральный выпуск №5091</w:t>
        </w:r>
      </w:hyperlink>
      <w:r w:rsidRPr="000434E7">
        <w:rPr>
          <w:rFonts w:ascii="Arial" w:eastAsia="Times New Roman" w:hAnsi="Arial" w:cs="Arial"/>
          <w:sz w:val="30"/>
          <w:lang w:eastAsia="ru-RU"/>
        </w:rPr>
        <w:t xml:space="preserve"> 22 января 2010 г. Вступает в силу 2 февраля 2010 г.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Зарегистрирован в Минюсте РФ 29 декабря 2009 г. Регистрационный N 15878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В соответствии с пунктом 4 части 1 статьи 16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2008, N 13, ст. 1186; N 30, ст. 3616; N 52, ст. 6235), пунктом 4 части 1 статьи 11 Федерального закона от 2 марта 2007 г. N 25-ФЗ "О муниципальной службе в Российской Федерации" (Собрание законодательства Российской Федерации, 2007, N 10, 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ст. 1152; 2008, N 30, ст. 3616; N 44, ст. 4987, 4988;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N 48, ст. 5514; N 52, ст. 6222, 6235) и подпунктом 5.2.100.63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2008, N 11, ст. 1036; N 15, ст. 1555; N 23, ст. 2713; N 42, ст. 4825; N 46, ст. 5337; N 48, ст. 5618; 2009, N 2, ст. 244; N 3, ст. 378; N 6, ст. 738; N 12, ст. 1427, 1434) </w:t>
      </w:r>
      <w:r w:rsidRPr="000434E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приказываю: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Утвердить: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Порядок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перечень заболеваний, препятствующих поступлению на государственную гражданскую службу Российской Федерации и муниципальную службу или её прохождению, согласно приложению N 2;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учетную форму N 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Министр Т. Голикова</w:t>
      </w:r>
    </w:p>
    <w:p w:rsidR="000434E7" w:rsidRPr="000434E7" w:rsidRDefault="000434E7" w:rsidP="000434E7">
      <w:pPr>
        <w:spacing w:after="100" w:afterAutospacing="1" w:line="312" w:lineRule="atLeast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Приложение N 1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Порядок прохождения диспансеризации государственными гражданскими служащими Российской Федерации и муниципальными служащими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государственную гражданскую службу Российской Федерации и муниципальную службу или ее прохождению.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2.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3.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соответствующие виды деятельности, о привлечении медицинских работников этих организаций.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1) осмотр врачами-специалистами: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терапевтом,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акушером-гинекологом,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неврологом,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урологом (для мужского населения),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хирургом,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офтальмологом,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отоларингологом,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эндокринологом,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психиатром,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психиатром-наркологом;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2) проведение лабораторных и функциональных исследований: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клинический анализ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клинический анализ мочи,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уровня холестерина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уровня сахара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уровня билирубина,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уровня общего белка сыворотки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уровня амилазы сыворотки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исследование </w:t>
      </w: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креатинина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сыворотки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мочевой кислоты сыворотки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исследование уровня холестерина липопротеидов низкой плотности сыворотки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исследование уровня </w:t>
      </w: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триглицеридов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сыворотки крови,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онкомаркер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специфический СА-125 (женщинам после 40 лет),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онкомаркер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специфический PSA (мужчинам после 40 лет),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цитологическое исследование мазка из цервикального канала,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электрокардиография, флюорография (1 раз в год),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маммография (женщинам после 40 лет, 1 раз в 2 года).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6. Гражданские служащие и муниципальные служащие проходят диспансеризацию в сроки, установленные графиком.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представителем нанимателя (работодателем) календарный план проведения диспансеризации.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9.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форма N 025/у-04 "Медицинская карта амбулаторного больного", утвержденная приказом </w:t>
      </w: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Минздравсоцразвития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В кабинете (отделении) медицинской профилактики заполняются разделы учетной формы N 025/</w:t>
      </w: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у-ГС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форму N 131/</w:t>
      </w: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у-ГС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11. В случае выявления у гражданского служащего или муниципального служащего признаков заболевания врач-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терапевт направляет его на дополнительную консультацию к врачам-специалистам и дополнительные обследования.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12.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При прохождении диспансеризации на каждое посещение гражданским служащим или муниципальным служащим врача-специалиста заполняется учетная форма N 025/у-12 "Талон амбулаторного пациента", утвержденная приказом </w:t>
      </w:r>
      <w:proofErr w:type="spell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Минздравсоцразвития</w:t>
      </w:r>
      <w:proofErr w:type="spell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России от 22 ноября 2004 г. N 255 (зарегистрирован Минюстом России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14 декабря 2004 г. N 6188), с отметками литерами "ГС".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I группа - практически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здоровые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беседа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и даются рекомендации по здоровому образу жизни;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II группа - с риском развития заболевания, нуждающиеся в проведении профилактических мероприятий;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14.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врачом-участковым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Паспорт здоровья хранится у гражданского служащего или муниципального служащего.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17. </w:t>
      </w: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>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N 001-ГС/у), форма которого предусмотрена приложением N 3, подписываемое врачебной комиссией медицинского учреждения (далее - Заключение)*.</w:t>
      </w:r>
      <w:proofErr w:type="gramEnd"/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Заключение приобщается к личному делу гражданского служащего или муниципального служащего в соответствии с Положением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</w:t>
      </w: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</w:t>
      </w:r>
      <w:proofErr w:type="gramEnd"/>
      <w:r w:rsidRPr="000434E7">
        <w:rPr>
          <w:rFonts w:ascii="Arial" w:eastAsia="Times New Roman" w:hAnsi="Arial" w:cs="Arial"/>
          <w:sz w:val="30"/>
          <w:szCs w:val="30"/>
          <w:lang w:eastAsia="ru-RU"/>
        </w:rPr>
        <w:t>, ст. 2242).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программами государственных гарантий оказания гражданам Российской Федерации бесплатной медицинской помощи.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После осмотров врачом-психиатром и врачом психиатром-наркологом гражданину выдается Заключение.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t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 и Паспорт здоровья.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0434E7" w:rsidRPr="000434E7" w:rsidRDefault="000434E7" w:rsidP="000434E7">
      <w:pPr>
        <w:spacing w:after="10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0434E7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* Без указания диагноза и других медицинских данных.</w:t>
      </w:r>
    </w:p>
    <w:p w:rsidR="000434E7" w:rsidRPr="000434E7" w:rsidRDefault="004213CD" w:rsidP="000434E7">
      <w:pPr>
        <w:spacing w:after="0" w:afterAutospacing="1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hyperlink r:id="rId6" w:history="1">
        <w:r w:rsidR="000434E7" w:rsidRPr="000434E7">
          <w:rPr>
            <w:rFonts w:ascii="Arial" w:eastAsia="Times New Roman" w:hAnsi="Arial" w:cs="Arial"/>
            <w:color w:val="003399"/>
            <w:sz w:val="30"/>
            <w:u w:val="single"/>
            <w:lang w:eastAsia="ru-RU"/>
          </w:rPr>
          <w:t>Полностью приказ</w:t>
        </w:r>
      </w:hyperlink>
      <w:r w:rsidR="000434E7"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публикуется на официальном сайте </w:t>
      </w:r>
      <w:proofErr w:type="spellStart"/>
      <w:r w:rsidR="000434E7" w:rsidRPr="000434E7">
        <w:rPr>
          <w:rFonts w:ascii="Arial" w:eastAsia="Times New Roman" w:hAnsi="Arial" w:cs="Arial"/>
          <w:sz w:val="30"/>
          <w:szCs w:val="30"/>
          <w:lang w:eastAsia="ru-RU"/>
        </w:rPr>
        <w:t>Минздравсоцразвития</w:t>
      </w:r>
      <w:proofErr w:type="spellEnd"/>
      <w:r w:rsidR="000434E7" w:rsidRPr="000434E7">
        <w:rPr>
          <w:rFonts w:ascii="Arial" w:eastAsia="Times New Roman" w:hAnsi="Arial" w:cs="Arial"/>
          <w:sz w:val="30"/>
          <w:szCs w:val="30"/>
          <w:lang w:eastAsia="ru-RU"/>
        </w:rPr>
        <w:t xml:space="preserve"> России</w:t>
      </w:r>
    </w:p>
    <w:p w:rsidR="000434E7" w:rsidRPr="000434E7" w:rsidRDefault="004213CD" w:rsidP="000434E7">
      <w:pPr>
        <w:spacing w:after="0" w:line="312" w:lineRule="atLeast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pict>
          <v:shape id="_x0000_s1026" style="position:absolute;margin-left:0;margin-top:0;width:388.5pt;height:134.25pt;z-index:251656704" coordorigin="1,1" coordsize="1036,358" o:spt="100" adj="0,,0" path="m2,20r,336qy2,356l1034,356qx1034,356l1034,20qy1016,2l20,2qx2,20e" filled="f" fillcolor="black" stroked="f">
            <v:stroke joinstyle="round"/>
            <v:formulas/>
            <v:path o:connecttype="segments"/>
          </v:shape>
        </w:pict>
      </w:r>
      <w:r>
        <w:rPr>
          <w:rFonts w:ascii="Arial" w:eastAsia="Times New Roman" w:hAnsi="Arial" w:cs="Arial"/>
          <w:sz w:val="30"/>
          <w:szCs w:val="30"/>
          <w:lang w:eastAsia="ru-RU"/>
        </w:rPr>
        <w:pict>
          <v:shape id="_x0000_s1027" style="position:absolute;margin-left:0;margin-top:0;width:388.5pt;height:134.25pt;z-index:251657728" coordorigin="1,1" coordsize="518,179" o:spt="100" adj="0,,0" path="m1,10qy10,1l509,1qx518,10l518,179qy518,179l1,179qx1,179l1,10e" filled="f" fillcolor="none" stroked="f">
            <v:fill type="tile"/>
            <v:stroke joinstyle="round"/>
            <v:formulas/>
            <v:path o:connecttype="segments"/>
          </v:shape>
        </w:pict>
      </w:r>
      <w:r>
        <w:rPr>
          <w:rFonts w:ascii="Arial" w:eastAsia="Times New Roman" w:hAnsi="Arial" w:cs="Arial"/>
          <w:sz w:val="30"/>
          <w:szCs w:val="30"/>
          <w:lang w:eastAsia="ru-RU"/>
        </w:rPr>
        <w:pict>
          <v:shape id="_x0000_s1028" style="position:absolute;margin-left:0;margin-top:0;width:388.5pt;height:134.25pt;z-index:251658752" coordorigin="1,1" coordsize="1036,358" o:spt="100" adj="0,,0" path="m,20qy20,l1016,qx1036,20l1036,358qy1036,358l,358qx,358l,20t2,l2,356qy2,356l1034,356qx1034,356l1034,20qy1016,2l20,2qx2,20e" fillcolor="#bbb" stroked="f">
            <v:stroke joinstyle="round"/>
            <v:formulas/>
            <v:path o:connecttype="segments"/>
          </v:shape>
        </w:pict>
      </w:r>
    </w:p>
    <w:p w:rsidR="000434E7" w:rsidRPr="000434E7" w:rsidRDefault="000434E7" w:rsidP="000434E7">
      <w:pPr>
        <w:shd w:val="clear" w:color="auto" w:fill="FFFFFF"/>
        <w:spacing w:after="320" w:line="312" w:lineRule="atLeast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</w:pPr>
      <w:r w:rsidRPr="000434E7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Работа с документом:</w:t>
      </w:r>
      <w:r w:rsidRPr="000434E7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  <w:r w:rsidRPr="000434E7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  <w:t xml:space="preserve">Опубликовано в </w:t>
      </w:r>
      <w:hyperlink r:id="rId7" w:history="1">
        <w:r w:rsidRPr="000434E7">
          <w:rPr>
            <w:rFonts w:ascii="Verdana" w:eastAsia="Times New Roman" w:hAnsi="Verdana" w:cs="Arial"/>
            <w:b/>
            <w:bCs/>
            <w:color w:val="003399"/>
            <w:sz w:val="32"/>
            <w:u w:val="single"/>
            <w:lang w:eastAsia="ru-RU"/>
          </w:rPr>
          <w:t>"РГ" - Федеральный выпуск №5091</w:t>
        </w:r>
      </w:hyperlink>
      <w:r w:rsidRPr="000434E7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 xml:space="preserve"> от 22 января 2010 г. </w:t>
      </w:r>
      <w:r w:rsidRPr="000434E7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  <w:r w:rsidRPr="000434E7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</w:p>
    <w:p w:rsidR="001C29F2" w:rsidRDefault="001C29F2"/>
    <w:sectPr w:rsidR="001C29F2" w:rsidSect="001C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F56"/>
    <w:multiLevelType w:val="multilevel"/>
    <w:tmpl w:val="FE6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E7"/>
    <w:rsid w:val="000434E7"/>
    <w:rsid w:val="001C29F2"/>
    <w:rsid w:val="004213CD"/>
    <w:rsid w:val="0057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F2"/>
  </w:style>
  <w:style w:type="paragraph" w:styleId="1">
    <w:name w:val="heading 1"/>
    <w:basedOn w:val="a"/>
    <w:link w:val="10"/>
    <w:uiPriority w:val="9"/>
    <w:qFormat/>
    <w:rsid w:val="000434E7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34E7"/>
    <w:rPr>
      <w:color w:val="003399"/>
      <w:u w:val="single"/>
    </w:rPr>
  </w:style>
  <w:style w:type="character" w:customStyle="1" w:styleId="maintext1">
    <w:name w:val="maintext1"/>
    <w:basedOn w:val="a0"/>
    <w:rsid w:val="000434E7"/>
    <w:rPr>
      <w:vanish w:val="0"/>
      <w:webHidden w:val="0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8615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72279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4253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7" w:color="BBBBBB"/>
                                <w:left w:val="single" w:sz="12" w:space="0" w:color="BBBBBB"/>
                                <w:bottom w:val="single" w:sz="12" w:space="0" w:color="BBBBBB"/>
                                <w:right w:val="single" w:sz="12" w:space="0" w:color="BBBBBB"/>
                              </w:divBdr>
                              <w:divsChild>
                                <w:div w:id="2100638965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gazeta/rg/2010/01/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soc.ru/docs/mzsr/spa/40/" TargetMode="External"/><Relationship Id="rId5" Type="http://schemas.openxmlformats.org/officeDocument/2006/relationships/hyperlink" Target="http://www.rg.ru/gazeta/rg/2010/01/2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2549</Words>
  <Characters>14534</Characters>
  <Application>Microsoft Office Word</Application>
  <DocSecurity>0</DocSecurity>
  <Lines>121</Lines>
  <Paragraphs>34</Paragraphs>
  <ScaleCrop>false</ScaleCrop>
  <Company>AdmEvsino</Company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2012-04-19T03:36:00Z</dcterms:created>
  <dcterms:modified xsi:type="dcterms:W3CDTF">2012-04-19T03:46:00Z</dcterms:modified>
</cp:coreProperties>
</file>